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竣工决算审计费用项目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塔什库尔干县审计局</w:t>
      </w:r>
    </w:p>
    <w:p>
      <w:pPr>
        <w:pStyle w:val="48"/>
        <w:spacing w:line="700" w:lineRule="exact"/>
        <w:ind w:firstLine="720" w:firstLineChars="200"/>
        <w:jc w:val="left"/>
        <w:rPr>
          <w:rFonts w:hint="eastAsia" w:eastAsia="仿宋_GB2312"/>
          <w:kern w:val="0"/>
          <w:sz w:val="36"/>
          <w:szCs w:val="36"/>
          <w:lang w:val="en-US"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陈剑</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w:t>
      </w:r>
      <w:r>
        <w:rPr>
          <w:rFonts w:hint="eastAsia" w:ascii="仿宋_GB2312" w:hAnsi="仿宋_GB2312" w:eastAsia="仿宋_GB2312" w:cs="仿宋_GB2312"/>
          <w:kern w:val="0"/>
          <w:sz w:val="36"/>
          <w:szCs w:val="36"/>
          <w:lang w:val="en-US" w:eastAsia="zh-CN"/>
        </w:rPr>
        <w:t>2018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31</w:t>
      </w:r>
      <w:bookmarkStart w:id="0" w:name="_GoBack"/>
      <w:bookmarkEnd w:id="0"/>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塔什库尔干审计局成立于1984年6月，隶属于县人民政府。塔什库尔干县审计局行政编制为7名，其中工勤事业编制1名</w:t>
      </w:r>
      <w:r>
        <w:rPr>
          <w:rStyle w:val="19"/>
          <w:rFonts w:hint="eastAsia" w:ascii="仿宋" w:hAnsi="仿宋" w:eastAsia="仿宋"/>
          <w:b w:val="0"/>
          <w:spacing w:val="-4"/>
          <w:sz w:val="32"/>
          <w:szCs w:val="32"/>
          <w:lang w:eastAsia="zh-CN"/>
        </w:rPr>
        <w:t>，</w:t>
      </w:r>
      <w:r>
        <w:rPr>
          <w:rStyle w:val="19"/>
          <w:rFonts w:hint="eastAsia" w:ascii="仿宋" w:hAnsi="仿宋" w:eastAsia="仿宋"/>
          <w:b w:val="0"/>
          <w:spacing w:val="-4"/>
          <w:sz w:val="32"/>
          <w:szCs w:val="32"/>
          <w:lang w:val="en-US" w:eastAsia="zh-CN"/>
        </w:rPr>
        <w:t>行政编制6人。</w:t>
      </w:r>
      <w:r>
        <w:rPr>
          <w:rStyle w:val="19"/>
          <w:rFonts w:hint="eastAsia" w:ascii="仿宋" w:hAnsi="仿宋" w:eastAsia="仿宋"/>
          <w:b w:val="0"/>
          <w:spacing w:val="-4"/>
          <w:sz w:val="32"/>
          <w:szCs w:val="32"/>
        </w:rPr>
        <w:t>截至目前，现有公务员4人，工人（驾驶员）1人，共5人。现有4名审计干部，面临审计力量严重不足的困境。根据《喀什地区审计局组织社会中介机构审计政府投资建设项目管理办法》及《塔什库尔干县政府投资项目审计监督管理办法》（塔政办发[2011]104号）文件规定、以及塔什库尔干县审计局2018年度聘请社会中</w:t>
      </w:r>
      <w:r>
        <w:rPr>
          <w:rStyle w:val="19"/>
          <w:rFonts w:hint="eastAsia" w:ascii="仿宋" w:hAnsi="仿宋" w:eastAsia="仿宋"/>
          <w:b w:val="0"/>
          <w:spacing w:val="-4"/>
          <w:sz w:val="32"/>
          <w:szCs w:val="32"/>
          <w:lang w:val="en-US" w:eastAsia="zh-CN"/>
        </w:rPr>
        <w:t>介</w:t>
      </w:r>
      <w:r>
        <w:rPr>
          <w:rStyle w:val="19"/>
          <w:rFonts w:hint="eastAsia" w:ascii="仿宋" w:hAnsi="仿宋" w:eastAsia="仿宋"/>
          <w:b w:val="0"/>
          <w:spacing w:val="-4"/>
          <w:sz w:val="32"/>
          <w:szCs w:val="32"/>
        </w:rPr>
        <w:t>机构参与政府投资项目工程决（结）算审计招标结果，组织4家审计公司参与2018年度的审计业务。</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政府投资项目审计关注政府行为，提高政府投资资金使用效益。政府投资项目审计为政府投资提供决策服务的根本目的是提高决策的科学性，促进效益及控制规模。在政府投资项目审计作用的逐步发挥的情况下，投资审计的监督和服务职能也延伸到建筑市场的薄弱环节，使建筑市场行为得到有效规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2018年度塔什库尔干县政府投资建设项目预算执行情况和竣工决算审计（包含：工程造价审计、建设项目资金使用情况的审计；工程项目管理情况的审计等）。</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竣工决算审计费项目预算安排总额为423.66万元，其中财政资金423.66万元，2018年实际收到预算资金423.66万元。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本项目实际支付资金423.66万元，预算执行率100%。项目资金主要用于支付4家审计公司竣工决算审计费用423.66万元。主要为各单位委托进行竣工决算审计项目审计费。</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该项目属于经常性零星项目,没有达到招投标限额,由本单位自行组织实施。实施过程均按照本单位制定的管理制度执行。</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本项目不存在调整情况。</w:t>
      </w:r>
    </w:p>
    <w:p>
      <w:pPr>
        <w:spacing w:line="52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项目实施过程中，塔什库尔干县审计局一名主要领导负责项目审计，保障项目的顺利实施。项目的实施遵守相关法律法规和业务管理规定，项目资料齐全并及时归档，不定期对项目进度情况进行督导检查，对检查过程中发现的问题及时督促整改，确保了固定资产审计项目审计工作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本项目共设置一级指标3个，二级指标7个，三级指标11个，其中已完成三级指标11个，指标完成率为95%。</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经济性：2018年共接到各单位委托进行竣工决算审计项目49个，送审总价18174.21万元</w:t>
      </w:r>
      <w:r>
        <w:rPr>
          <w:rFonts w:hint="eastAsia" w:ascii="仿宋" w:hAnsi="仿宋" w:eastAsia="仿宋"/>
          <w:bCs/>
          <w:spacing w:val="-4"/>
          <w:sz w:val="32"/>
          <w:szCs w:val="32"/>
          <w:lang w:eastAsia="zh-CN"/>
        </w:rPr>
        <w:t>。</w:t>
      </w:r>
      <w:r>
        <w:rPr>
          <w:rFonts w:hint="eastAsia" w:ascii="仿宋" w:hAnsi="仿宋" w:eastAsia="仿宋"/>
          <w:bCs/>
          <w:spacing w:val="-4"/>
          <w:sz w:val="32"/>
          <w:szCs w:val="32"/>
          <w:lang w:val="en-US" w:eastAsia="zh-CN"/>
        </w:rPr>
        <w:t>实际</w:t>
      </w:r>
      <w:r>
        <w:rPr>
          <w:rFonts w:hint="eastAsia" w:ascii="仿宋" w:hAnsi="仿宋" w:eastAsia="仿宋"/>
          <w:bCs/>
          <w:spacing w:val="-4"/>
          <w:sz w:val="32"/>
          <w:szCs w:val="32"/>
        </w:rPr>
        <w:t>完成39个，送审总价13380.42万元，审定价12434.36万元，核减946.05万元，核减率7.1%。节约国家资金946.05万元。</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效率性：2018年共接到各单位委托进行竣工决算审计项目49个，</w:t>
      </w:r>
      <w:r>
        <w:rPr>
          <w:rFonts w:hint="eastAsia" w:ascii="仿宋" w:hAnsi="仿宋" w:eastAsia="仿宋"/>
          <w:bCs/>
          <w:spacing w:val="-4"/>
          <w:sz w:val="32"/>
          <w:szCs w:val="32"/>
          <w:lang w:val="en-US" w:eastAsia="zh-CN"/>
        </w:rPr>
        <w:t>实际</w:t>
      </w:r>
      <w:r>
        <w:rPr>
          <w:rFonts w:hint="eastAsia" w:ascii="仿宋" w:hAnsi="仿宋" w:eastAsia="仿宋"/>
          <w:bCs/>
          <w:spacing w:val="-4"/>
          <w:sz w:val="32"/>
          <w:szCs w:val="32"/>
        </w:rPr>
        <w:t>完成39个，项目完工及时提供审计报告给被审计单位进行整改，取得了很好的审计效果。</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效益性：</w:t>
      </w:r>
      <w:r>
        <w:rPr>
          <w:rFonts w:hint="eastAsia" w:ascii="仿宋" w:hAnsi="仿宋" w:eastAsia="仿宋"/>
          <w:bCs/>
          <w:spacing w:val="-4"/>
          <w:sz w:val="32"/>
          <w:szCs w:val="32"/>
          <w:lang w:val="en-US" w:eastAsia="zh-CN"/>
        </w:rPr>
        <w:t>及时</w:t>
      </w:r>
      <w:r>
        <w:rPr>
          <w:rFonts w:hint="eastAsia" w:ascii="仿宋" w:hAnsi="仿宋" w:eastAsia="仿宋"/>
          <w:bCs/>
          <w:spacing w:val="-4"/>
          <w:sz w:val="32"/>
          <w:szCs w:val="32"/>
        </w:rPr>
        <w:t>节约国家资金946.05万元，</w:t>
      </w:r>
      <w:r>
        <w:rPr>
          <w:rFonts w:hint="eastAsia" w:ascii="仿宋" w:hAnsi="仿宋" w:eastAsia="仿宋"/>
          <w:bCs/>
          <w:spacing w:val="-4"/>
          <w:sz w:val="32"/>
          <w:szCs w:val="32"/>
          <w:lang w:val="en-US" w:eastAsia="zh-CN"/>
        </w:rPr>
        <w:t>并</w:t>
      </w:r>
      <w:r>
        <w:rPr>
          <w:rFonts w:hint="eastAsia" w:ascii="仿宋" w:hAnsi="仿宋" w:eastAsia="仿宋"/>
          <w:bCs/>
          <w:spacing w:val="-4"/>
          <w:sz w:val="32"/>
          <w:szCs w:val="32"/>
        </w:rPr>
        <w:t>提出建议均</w:t>
      </w:r>
      <w:r>
        <w:rPr>
          <w:rFonts w:hint="eastAsia" w:ascii="仿宋" w:hAnsi="仿宋" w:eastAsia="仿宋"/>
          <w:bCs/>
          <w:spacing w:val="-4"/>
          <w:sz w:val="32"/>
          <w:szCs w:val="32"/>
          <w:lang w:val="en-US" w:eastAsia="zh-CN"/>
        </w:rPr>
        <w:t>由</w:t>
      </w:r>
      <w:r>
        <w:rPr>
          <w:rFonts w:hint="eastAsia" w:ascii="仿宋" w:hAnsi="仿宋" w:eastAsia="仿宋"/>
          <w:bCs/>
          <w:spacing w:val="-4"/>
          <w:sz w:val="32"/>
          <w:szCs w:val="32"/>
        </w:rPr>
        <w:t>被审计单位采纳。</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2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下年度本单位审计计划中重点突出民生审计工作，加大对教育等方面的审计，根据我单位实际，将聘请7家审计公司负责我县政府投资审计业务，加强审计队伍建设。</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52"/>
        <w:numPr>
          <w:ilvl w:val="0"/>
          <w:numId w:val="1"/>
        </w:numPr>
        <w:adjustRightInd w:val="0"/>
        <w:snapToGrid w:val="0"/>
        <w:spacing w:line="560" w:lineRule="exact"/>
        <w:ind w:firstLineChars="0"/>
        <w:rPr>
          <w:rFonts w:ascii="仿宋" w:hAnsi="仿宋" w:eastAsia="仿宋"/>
          <w:bCs/>
          <w:spacing w:val="-4"/>
          <w:sz w:val="32"/>
          <w:szCs w:val="32"/>
        </w:rPr>
      </w:pP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不断加强学习是提高审计质量的重要保证。</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从事工程造价审计工作，认真细致、有耐心是必不可少的。</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有很多问题，实际上只要按照工作流程，认真弄清楚前后经过，就很容易发现。</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拿到工程造价审计资料，首先应仔细研究合同、协议及招投标文件，根据项目的情况及特点来确定审计工作的方向和重点。</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工程造价审计中踏勘现场非常重要。一般情况下，建设项目都是按图施工，对于造价人员来说，只要按图计算即可；但实际上，每个项目或多或少都会发生变更，都会有与图纸不一样的地方，因此，到现场实地踏勘，往往会发现一些图纸和资料未反映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分析审计资料内在的合理性是审计的关键点。造价审计工作基本上都是事后审计，审计人员开始介入时项目基本上都已竣工数年了，所以资料成了审计人员最重要的依据，有时候从资料中寻找有利的证据，可以起到重要的作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查看资料要仔细，看到有用的资料，要及时做好记录，在认为有必要时要及时复印，以免日后查找困难或对方掉包。</w:t>
      </w:r>
    </w:p>
    <w:p>
      <w:pPr>
        <w:pStyle w:val="52"/>
        <w:numPr>
          <w:ilvl w:val="0"/>
          <w:numId w:val="1"/>
        </w:numPr>
        <w:adjustRightInd w:val="0"/>
        <w:snapToGrid w:val="0"/>
        <w:spacing w:line="560" w:lineRule="exact"/>
        <w:ind w:firstLineChars="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各被审计单位不能及时将资料送审，存在能不审就不审的心理，导致无法实现审计。</w:t>
      </w:r>
    </w:p>
    <w:p>
      <w:pPr>
        <w:pStyle w:val="52"/>
        <w:numPr>
          <w:ilvl w:val="0"/>
          <w:numId w:val="1"/>
        </w:numPr>
        <w:adjustRightInd w:val="0"/>
        <w:snapToGrid w:val="0"/>
        <w:spacing w:line="560" w:lineRule="exact"/>
        <w:ind w:firstLineChars="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相关部门规范对项目审计的要求，对范围、种类提出规范，保证各项政府投资项目在监督下实施。</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次评价通过文件研读、实地调研、数据分析等方式，全面了解竣工决算审计费项目资金的使用效率和效果，项目管理过程是否规范，是否完成了预期绩效目标等。同时，通过开展自我评价来总结经验和教训，为塔什库尔干县竣工决算审计费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rPr>
          <w:rStyle w:val="19"/>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roman"/>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B6739"/>
    <w:multiLevelType w:val="multilevel"/>
    <w:tmpl w:val="3F9B6739"/>
    <w:lvl w:ilvl="0" w:tentative="0">
      <w:start w:val="1"/>
      <w:numFmt w:val="decimal"/>
      <w:lvlText w:val="%1、"/>
      <w:lvlJc w:val="left"/>
      <w:pPr>
        <w:ind w:left="1344" w:hanging="720"/>
      </w:pPr>
      <w:rPr>
        <w:rFonts w:hint="default"/>
      </w:rPr>
    </w:lvl>
    <w:lvl w:ilvl="1" w:tentative="0">
      <w:start w:val="1"/>
      <w:numFmt w:val="lowerLetter"/>
      <w:lvlText w:val="%2)"/>
      <w:lvlJc w:val="left"/>
      <w:pPr>
        <w:ind w:left="1464" w:hanging="420"/>
      </w:pPr>
    </w:lvl>
    <w:lvl w:ilvl="2" w:tentative="0">
      <w:start w:val="1"/>
      <w:numFmt w:val="lowerRoman"/>
      <w:lvlText w:val="%3."/>
      <w:lvlJc w:val="right"/>
      <w:pPr>
        <w:ind w:left="1884" w:hanging="420"/>
      </w:pPr>
    </w:lvl>
    <w:lvl w:ilvl="3" w:tentative="0">
      <w:start w:val="1"/>
      <w:numFmt w:val="decimal"/>
      <w:lvlText w:val="%4."/>
      <w:lvlJc w:val="left"/>
      <w:pPr>
        <w:ind w:left="2304" w:hanging="420"/>
      </w:pPr>
    </w:lvl>
    <w:lvl w:ilvl="4" w:tentative="0">
      <w:start w:val="1"/>
      <w:numFmt w:val="lowerLetter"/>
      <w:lvlText w:val="%5)"/>
      <w:lvlJc w:val="left"/>
      <w:pPr>
        <w:ind w:left="2724" w:hanging="420"/>
      </w:pPr>
    </w:lvl>
    <w:lvl w:ilvl="5" w:tentative="0">
      <w:start w:val="1"/>
      <w:numFmt w:val="lowerRoman"/>
      <w:lvlText w:val="%6."/>
      <w:lvlJc w:val="right"/>
      <w:pPr>
        <w:ind w:left="3144" w:hanging="420"/>
      </w:pPr>
    </w:lvl>
    <w:lvl w:ilvl="6" w:tentative="0">
      <w:start w:val="1"/>
      <w:numFmt w:val="decimal"/>
      <w:lvlText w:val="%7."/>
      <w:lvlJc w:val="left"/>
      <w:pPr>
        <w:ind w:left="3564" w:hanging="420"/>
      </w:pPr>
    </w:lvl>
    <w:lvl w:ilvl="7" w:tentative="0">
      <w:start w:val="1"/>
      <w:numFmt w:val="lowerLetter"/>
      <w:lvlText w:val="%8)"/>
      <w:lvlJc w:val="left"/>
      <w:pPr>
        <w:ind w:left="3984" w:hanging="420"/>
      </w:pPr>
    </w:lvl>
    <w:lvl w:ilvl="8" w:tentative="0">
      <w:start w:val="1"/>
      <w:numFmt w:val="lowerRoman"/>
      <w:lvlText w:val="%9."/>
      <w:lvlJc w:val="right"/>
      <w:pPr>
        <w:ind w:left="440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16199"/>
    <w:rsid w:val="0012208E"/>
    <w:rsid w:val="00135256"/>
    <w:rsid w:val="001940CB"/>
    <w:rsid w:val="001A4E1F"/>
    <w:rsid w:val="001A57B9"/>
    <w:rsid w:val="001C3847"/>
    <w:rsid w:val="001F3031"/>
    <w:rsid w:val="00210A26"/>
    <w:rsid w:val="002935D5"/>
    <w:rsid w:val="002A2532"/>
    <w:rsid w:val="002A2D76"/>
    <w:rsid w:val="00365250"/>
    <w:rsid w:val="0036624C"/>
    <w:rsid w:val="00385849"/>
    <w:rsid w:val="003F1A98"/>
    <w:rsid w:val="00433C9F"/>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4D9A"/>
    <w:rsid w:val="007F5F8A"/>
    <w:rsid w:val="00826CA1"/>
    <w:rsid w:val="00835B7F"/>
    <w:rsid w:val="00855E3A"/>
    <w:rsid w:val="00882985"/>
    <w:rsid w:val="00922CB9"/>
    <w:rsid w:val="009350F7"/>
    <w:rsid w:val="009B526F"/>
    <w:rsid w:val="009C1AFD"/>
    <w:rsid w:val="009D4BFB"/>
    <w:rsid w:val="00A26421"/>
    <w:rsid w:val="00A4293B"/>
    <w:rsid w:val="00A52A67"/>
    <w:rsid w:val="00A83BD5"/>
    <w:rsid w:val="00A977DF"/>
    <w:rsid w:val="00AE6A23"/>
    <w:rsid w:val="00B06CA5"/>
    <w:rsid w:val="00B13FCF"/>
    <w:rsid w:val="00B41F61"/>
    <w:rsid w:val="00B55332"/>
    <w:rsid w:val="00B84730"/>
    <w:rsid w:val="00B86E8C"/>
    <w:rsid w:val="00BE1A00"/>
    <w:rsid w:val="00C22CF0"/>
    <w:rsid w:val="00C56C72"/>
    <w:rsid w:val="00CA6457"/>
    <w:rsid w:val="00CC2FF6"/>
    <w:rsid w:val="00CC4442"/>
    <w:rsid w:val="00CC6E4D"/>
    <w:rsid w:val="00D17F2E"/>
    <w:rsid w:val="00D46194"/>
    <w:rsid w:val="00E01293"/>
    <w:rsid w:val="00E027D1"/>
    <w:rsid w:val="00E769FE"/>
    <w:rsid w:val="00EA2CBE"/>
    <w:rsid w:val="00EF3FFA"/>
    <w:rsid w:val="00F32FEE"/>
    <w:rsid w:val="00F53E69"/>
    <w:rsid w:val="00FB1FCF"/>
    <w:rsid w:val="0AB56CE2"/>
    <w:rsid w:val="0EB107EC"/>
    <w:rsid w:val="21454B50"/>
    <w:rsid w:val="275833BE"/>
    <w:rsid w:val="397F4FE8"/>
    <w:rsid w:val="4EFD6A38"/>
    <w:rsid w:val="5987172A"/>
    <w:rsid w:val="5A7F02EA"/>
    <w:rsid w:val="6A0920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 w:type="paragraph" w:styleId="5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07CCA-8A77-44FB-A138-9A1C30F01B8D}">
  <ds:schemaRefs/>
</ds:datastoreItem>
</file>

<file path=docProps/app.xml><?xml version="1.0" encoding="utf-8"?>
<Properties xmlns="http://schemas.openxmlformats.org/officeDocument/2006/extended-properties" xmlns:vt="http://schemas.openxmlformats.org/officeDocument/2006/docPropsVTypes">
  <Template>Normal</Template>
  <Pages>6</Pages>
  <Words>352</Words>
  <Characters>2012</Characters>
  <Lines>16</Lines>
  <Paragraphs>4</Paragraphs>
  <TotalTime>21</TotalTime>
  <ScaleCrop>false</ScaleCrop>
  <LinksUpToDate>false</LinksUpToDate>
  <CharactersWithSpaces>2360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2019-09-18T10:57:53Z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